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6F" w:rsidRPr="00802B52" w:rsidRDefault="00DA16F9" w:rsidP="00172D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'D'</w:t>
      </w:r>
      <w:bookmarkStart w:id="0" w:name="_GoBack"/>
      <w:bookmarkEnd w:id="0"/>
    </w:p>
    <w:p w:rsidR="001E2A6F" w:rsidRPr="00802B52" w:rsidRDefault="00DA16F9" w:rsidP="00172DE7">
      <w:pPr>
        <w:spacing w:after="0"/>
        <w:jc w:val="both"/>
        <w:rPr>
          <w:rFonts w:ascii="Arial" w:hAnsi="Arial" w:cs="Arial"/>
          <w:b/>
          <w:u w:val="single"/>
        </w:rPr>
      </w:pPr>
      <w:r w:rsidRPr="00802B52">
        <w:rPr>
          <w:rFonts w:ascii="Arial" w:hAnsi="Arial" w:cs="Arial"/>
          <w:b/>
          <w:u w:val="single"/>
        </w:rPr>
        <w:t>Hillhouse Technology Enterprise Zone – Lead Rob Green</w:t>
      </w:r>
    </w:p>
    <w:p w:rsidR="001E2A6F" w:rsidRPr="00802B52" w:rsidRDefault="00DA16F9" w:rsidP="00172DE7">
      <w:pPr>
        <w:spacing w:after="0"/>
        <w:jc w:val="both"/>
        <w:rPr>
          <w:rFonts w:ascii="Arial" w:hAnsi="Arial" w:cs="Arial"/>
          <w:b/>
        </w:rPr>
      </w:pPr>
    </w:p>
    <w:p w:rsidR="005E6646" w:rsidRPr="00802B52" w:rsidRDefault="00DA16F9" w:rsidP="00172DE7">
      <w:pPr>
        <w:spacing w:after="0"/>
        <w:jc w:val="both"/>
        <w:rPr>
          <w:rFonts w:ascii="Arial" w:hAnsi="Arial" w:cs="Arial"/>
          <w:b/>
        </w:rPr>
      </w:pPr>
      <w:r w:rsidRPr="00802B52">
        <w:rPr>
          <w:rFonts w:ascii="Arial" w:hAnsi="Arial" w:cs="Arial"/>
          <w:b/>
        </w:rPr>
        <w:t xml:space="preserve">Background </w:t>
      </w:r>
    </w:p>
    <w:p w:rsidR="00644259" w:rsidRPr="00802B52" w:rsidRDefault="00DA16F9" w:rsidP="00172DE7">
      <w:pPr>
        <w:spacing w:after="0"/>
        <w:jc w:val="both"/>
        <w:rPr>
          <w:rFonts w:ascii="Arial" w:hAnsi="Arial" w:cs="Arial"/>
          <w:b/>
        </w:rPr>
      </w:pPr>
    </w:p>
    <w:p w:rsidR="00644259" w:rsidRDefault="00DA16F9" w:rsidP="00773911">
      <w:pPr>
        <w:jc w:val="both"/>
        <w:rPr>
          <w:rFonts w:ascii="Arial" w:hAnsi="Arial" w:cs="Arial"/>
        </w:rPr>
      </w:pPr>
      <w:r w:rsidRPr="00802B52">
        <w:rPr>
          <w:rFonts w:ascii="Arial" w:hAnsi="Arial" w:cs="Arial"/>
        </w:rPr>
        <w:t>In April 2016 the Government awarded Enterprise Zone status to Hillhouse Technology Enterprise Zone.</w:t>
      </w:r>
      <w:r>
        <w:rPr>
          <w:rFonts w:ascii="Arial" w:hAnsi="Arial" w:cs="Arial"/>
          <w:b/>
        </w:rPr>
        <w:t xml:space="preserve"> </w:t>
      </w:r>
      <w:r w:rsidRPr="00802B52">
        <w:rPr>
          <w:rFonts w:ascii="Arial" w:hAnsi="Arial" w:cs="Arial"/>
        </w:rPr>
        <w:t xml:space="preserve">Hillhouse EZ has benefited from private sector investment including a gas fired </w:t>
      </w:r>
      <w:r w:rsidRPr="00802B52">
        <w:rPr>
          <w:rFonts w:ascii="Arial" w:hAnsi="Arial" w:cs="Arial"/>
        </w:rPr>
        <w:t>generator station Burn Naze IE, 30,000 sq ft extension at Addisons Projects, Victrex’s 20,000 sq ft R&amp;D plant and completion of AGC CE’s thermal oxidiser. Victrex received circa £1.4m Regional Growth Fund toward the R&amp;D pilot plant which is the only signif</w:t>
      </w:r>
      <w:r w:rsidRPr="00802B52">
        <w:rPr>
          <w:rFonts w:ascii="Arial" w:hAnsi="Arial" w:cs="Arial"/>
        </w:rPr>
        <w:t xml:space="preserve">icant public sector investment to date.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2467"/>
        <w:gridCol w:w="1213"/>
      </w:tblGrid>
      <w:tr w:rsidR="007C5345" w:rsidTr="00BE5C2D">
        <w:trPr>
          <w:trHeight w:val="495"/>
        </w:trPr>
        <w:tc>
          <w:tcPr>
            <w:tcW w:w="3402" w:type="dxa"/>
          </w:tcPr>
          <w:p w:rsidR="00BE5C2D" w:rsidRPr="00802B52" w:rsidRDefault="00DA16F9" w:rsidP="00BE5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255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  <w:b/>
              </w:rPr>
              <w:t xml:space="preserve">Targets </w:t>
            </w:r>
            <w:r>
              <w:rPr>
                <w:rFonts w:ascii="Arial" w:hAnsi="Arial" w:cs="Arial"/>
                <w:b/>
              </w:rPr>
              <w:t xml:space="preserve">to 2026 </w:t>
            </w:r>
          </w:p>
        </w:tc>
        <w:tc>
          <w:tcPr>
            <w:tcW w:w="2467" w:type="dxa"/>
          </w:tcPr>
          <w:p w:rsidR="00BE5C2D" w:rsidRPr="00802B52" w:rsidRDefault="00DA16F9" w:rsidP="00BE5C2D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Actual</w:t>
            </w:r>
            <w:r>
              <w:rPr>
                <w:rFonts w:ascii="Arial" w:hAnsi="Arial" w:cs="Arial"/>
                <w:b/>
              </w:rPr>
              <w:t>s to Qtr 4 19/20</w:t>
            </w:r>
          </w:p>
        </w:tc>
        <w:tc>
          <w:tcPr>
            <w:tcW w:w="1213" w:type="dxa"/>
          </w:tcPr>
          <w:p w:rsidR="00BE5C2D" w:rsidRPr="00802B52" w:rsidRDefault="00DA16F9" w:rsidP="00BE5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7C5345" w:rsidTr="00BE5C2D">
        <w:tc>
          <w:tcPr>
            <w:tcW w:w="340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Floorspace delivered</w:t>
            </w:r>
          </w:p>
        </w:tc>
        <w:tc>
          <w:tcPr>
            <w:tcW w:w="255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13,000 sqm </w:t>
            </w:r>
          </w:p>
        </w:tc>
        <w:tc>
          <w:tcPr>
            <w:tcW w:w="2467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c.4,600</w:t>
            </w:r>
          </w:p>
        </w:tc>
        <w:tc>
          <w:tcPr>
            <w:tcW w:w="1213" w:type="dxa"/>
            <w:shd w:val="clear" w:color="auto" w:fill="92D050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</w:p>
        </w:tc>
      </w:tr>
      <w:tr w:rsidR="007C5345" w:rsidTr="00BE5C2D">
        <w:tc>
          <w:tcPr>
            <w:tcW w:w="340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Retained Business Rates</w:t>
            </w:r>
          </w:p>
        </w:tc>
        <w:tc>
          <w:tcPr>
            <w:tcW w:w="255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£4.3m</w:t>
            </w:r>
          </w:p>
        </w:tc>
        <w:tc>
          <w:tcPr>
            <w:tcW w:w="2467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213" w:type="dxa"/>
            <w:shd w:val="clear" w:color="auto" w:fill="92D050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</w:p>
        </w:tc>
      </w:tr>
      <w:tr w:rsidR="007C5345" w:rsidTr="00BE5C2D">
        <w:tc>
          <w:tcPr>
            <w:tcW w:w="340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</w:t>
            </w:r>
          </w:p>
        </w:tc>
        <w:tc>
          <w:tcPr>
            <w:tcW w:w="255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137</w:t>
            </w:r>
          </w:p>
        </w:tc>
        <w:tc>
          <w:tcPr>
            <w:tcW w:w="2467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58</w:t>
            </w:r>
          </w:p>
        </w:tc>
        <w:tc>
          <w:tcPr>
            <w:tcW w:w="1213" w:type="dxa"/>
            <w:shd w:val="clear" w:color="auto" w:fill="92D050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</w:p>
        </w:tc>
      </w:tr>
      <w:tr w:rsidR="007C5345" w:rsidTr="00BE5C2D">
        <w:tc>
          <w:tcPr>
            <w:tcW w:w="340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Sales</w:t>
            </w:r>
          </w:p>
        </w:tc>
        <w:tc>
          <w:tcPr>
            <w:tcW w:w="2552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£1.5m</w:t>
            </w:r>
          </w:p>
        </w:tc>
        <w:tc>
          <w:tcPr>
            <w:tcW w:w="2467" w:type="dxa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213" w:type="dxa"/>
            <w:shd w:val="clear" w:color="auto" w:fill="92D050"/>
          </w:tcPr>
          <w:p w:rsidR="00BE5C2D" w:rsidRPr="00802B52" w:rsidRDefault="00DA16F9" w:rsidP="00BE5C2D">
            <w:pPr>
              <w:rPr>
                <w:rFonts w:ascii="Arial" w:hAnsi="Arial" w:cs="Arial"/>
              </w:rPr>
            </w:pPr>
          </w:p>
        </w:tc>
      </w:tr>
    </w:tbl>
    <w:p w:rsidR="00A529B8" w:rsidRPr="00802B52" w:rsidRDefault="00DA16F9" w:rsidP="00BE5C2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7C5345" w:rsidTr="00BE5C2D">
        <w:tc>
          <w:tcPr>
            <w:tcW w:w="7933" w:type="dxa"/>
          </w:tcPr>
          <w:p w:rsidR="00773911" w:rsidRPr="00802B52" w:rsidRDefault="00DA16F9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Milestones</w:t>
            </w:r>
          </w:p>
          <w:p w:rsidR="00644259" w:rsidRPr="00802B52" w:rsidRDefault="00DA16F9" w:rsidP="00584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3911" w:rsidRPr="00802B52" w:rsidRDefault="00DA16F9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Dates</w:t>
            </w:r>
          </w:p>
        </w:tc>
      </w:tr>
      <w:tr w:rsidR="007C5345" w:rsidTr="00BE5C2D">
        <w:tc>
          <w:tcPr>
            <w:tcW w:w="7933" w:type="dxa"/>
          </w:tcPr>
          <w:p w:rsidR="00575844" w:rsidRPr="00802B52" w:rsidRDefault="00DA16F9" w:rsidP="0060051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Vinnolit exit from site complete – demolition and site clearance to commence </w:t>
            </w:r>
          </w:p>
        </w:tc>
        <w:tc>
          <w:tcPr>
            <w:tcW w:w="1701" w:type="dxa"/>
          </w:tcPr>
          <w:p w:rsidR="00575844" w:rsidRPr="00802B52" w:rsidRDefault="00DA16F9" w:rsidP="0060051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Oct 2020</w:t>
            </w:r>
          </w:p>
        </w:tc>
      </w:tr>
      <w:tr w:rsidR="007C5345" w:rsidTr="00BE5C2D">
        <w:tc>
          <w:tcPr>
            <w:tcW w:w="7933" w:type="dxa"/>
          </w:tcPr>
          <w:p w:rsidR="00773911" w:rsidRPr="00802B52" w:rsidRDefault="00DA16F9" w:rsidP="00644259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Forsa Energy completion of build  </w:t>
            </w:r>
          </w:p>
        </w:tc>
        <w:tc>
          <w:tcPr>
            <w:tcW w:w="1701" w:type="dxa"/>
          </w:tcPr>
          <w:p w:rsidR="00773911" w:rsidRPr="00802B52" w:rsidRDefault="00DA16F9" w:rsidP="005840AC">
            <w:pPr>
              <w:rPr>
                <w:rFonts w:ascii="Arial" w:hAnsi="Arial" w:cs="Arial"/>
              </w:rPr>
            </w:pPr>
          </w:p>
        </w:tc>
      </w:tr>
      <w:tr w:rsidR="007C5345" w:rsidTr="00BE5C2D">
        <w:tc>
          <w:tcPr>
            <w:tcW w:w="7933" w:type="dxa"/>
          </w:tcPr>
          <w:p w:rsidR="006477F9" w:rsidRPr="00802B52" w:rsidRDefault="00DA16F9" w:rsidP="006477F9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Appointment of joint international marketing agent LAMEC brand </w:t>
            </w:r>
          </w:p>
        </w:tc>
        <w:tc>
          <w:tcPr>
            <w:tcW w:w="1701" w:type="dxa"/>
          </w:tcPr>
          <w:p w:rsidR="006477F9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Jan 2021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575844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Fiscal benefit extension proposal to HM Treasury</w:t>
            </w:r>
          </w:p>
        </w:tc>
        <w:tc>
          <w:tcPr>
            <w:tcW w:w="1701" w:type="dxa"/>
          </w:tcPr>
          <w:p w:rsidR="00575844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Sept 202</w:t>
            </w:r>
            <w:r w:rsidRPr="00802B52">
              <w:rPr>
                <w:rFonts w:ascii="Arial" w:hAnsi="Arial" w:cs="Arial"/>
              </w:rPr>
              <w:t>0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6477F9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Revised Delivery Plan </w:t>
            </w:r>
          </w:p>
        </w:tc>
        <w:tc>
          <w:tcPr>
            <w:tcW w:w="1701" w:type="dxa"/>
          </w:tcPr>
          <w:p w:rsidR="006477F9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Sept 2020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60,000 sq ft speculative development of small multi-use units planning submitted </w:t>
            </w:r>
          </w:p>
        </w:tc>
        <w:tc>
          <w:tcPr>
            <w:tcW w:w="1701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Q3 2020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LFFN (Local Full Fibre Network roll out) to site boundary</w:t>
            </w:r>
          </w:p>
        </w:tc>
        <w:tc>
          <w:tcPr>
            <w:tcW w:w="1701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complete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Subsequent roll out of fibre ducting on site </w:t>
            </w:r>
          </w:p>
        </w:tc>
        <w:tc>
          <w:tcPr>
            <w:tcW w:w="1701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Dec 2021</w:t>
            </w:r>
          </w:p>
        </w:tc>
      </w:tr>
      <w:tr w:rsidR="007C5345" w:rsidTr="00BE5C2D">
        <w:trPr>
          <w:trHeight w:val="71"/>
        </w:trPr>
        <w:tc>
          <w:tcPr>
            <w:tcW w:w="7933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Water main upgrade </w:t>
            </w:r>
          </w:p>
        </w:tc>
        <w:tc>
          <w:tcPr>
            <w:tcW w:w="1701" w:type="dxa"/>
          </w:tcPr>
          <w:p w:rsidR="00C15093" w:rsidRPr="00802B52" w:rsidRDefault="00DA16F9" w:rsidP="005840AC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Dec 2021</w:t>
            </w:r>
          </w:p>
        </w:tc>
      </w:tr>
    </w:tbl>
    <w:p w:rsidR="00C15093" w:rsidRPr="00802B52" w:rsidRDefault="00DA16F9" w:rsidP="00172DE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345" w:rsidTr="00C046D8">
        <w:tc>
          <w:tcPr>
            <w:tcW w:w="4814" w:type="dxa"/>
          </w:tcPr>
          <w:p w:rsidR="00C046D8" w:rsidRPr="00802B52" w:rsidRDefault="00DA16F9" w:rsidP="00C046D8">
            <w:pPr>
              <w:jc w:val="both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 xml:space="preserve">Risk and Issues </w:t>
            </w:r>
          </w:p>
          <w:p w:rsidR="00C046D8" w:rsidRPr="00802B52" w:rsidRDefault="00DA16F9" w:rsidP="00172D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C046D8" w:rsidRPr="00802B52" w:rsidRDefault="00DA16F9" w:rsidP="00172DE7">
            <w:pPr>
              <w:jc w:val="both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Mitigation &amp; Actions</w:t>
            </w:r>
          </w:p>
        </w:tc>
      </w:tr>
      <w:tr w:rsidR="007C5345" w:rsidTr="00C046D8">
        <w:tc>
          <w:tcPr>
            <w:tcW w:w="4814" w:type="dxa"/>
          </w:tcPr>
          <w:p w:rsidR="00C046D8" w:rsidRPr="00802B52" w:rsidRDefault="00DA16F9" w:rsidP="00C046D8">
            <w:pPr>
              <w:jc w:val="both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 xml:space="preserve">Delays to construction of the Forsa Energy site due to Covid-19 restrictions </w:t>
            </w:r>
          </w:p>
        </w:tc>
        <w:tc>
          <w:tcPr>
            <w:tcW w:w="4815" w:type="dxa"/>
          </w:tcPr>
          <w:p w:rsidR="00C046D8" w:rsidRPr="00802B52" w:rsidRDefault="00DA16F9" w:rsidP="00172DE7">
            <w:pPr>
              <w:jc w:val="both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>Quick liaison with landowners ensured work has now recommenced according to safety guidelines.</w:t>
            </w:r>
          </w:p>
        </w:tc>
      </w:tr>
      <w:tr w:rsidR="007C5345" w:rsidTr="00C046D8">
        <w:tc>
          <w:tcPr>
            <w:tcW w:w="4814" w:type="dxa"/>
          </w:tcPr>
          <w:p w:rsidR="00C046D8" w:rsidRPr="00802B52" w:rsidRDefault="00DA16F9" w:rsidP="00C046D8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Lack of </w:t>
            </w:r>
            <w:r w:rsidRPr="00802B52">
              <w:rPr>
                <w:rFonts w:ascii="Arial" w:hAnsi="Arial" w:cs="Arial"/>
              </w:rPr>
              <w:t>market demand due to Covid-19/Brexit uncertainty and the commercial viability of development with existing scheme such as Energy from waste/Biomass plant which are in development being cancelled or postponed long term.</w:t>
            </w:r>
          </w:p>
        </w:tc>
        <w:tc>
          <w:tcPr>
            <w:tcW w:w="4815" w:type="dxa"/>
          </w:tcPr>
          <w:p w:rsidR="00C046D8" w:rsidRPr="00802B52" w:rsidRDefault="00DA16F9" w:rsidP="00172DE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Allocated government Getting Building</w:t>
            </w:r>
            <w:r w:rsidRPr="00802B52">
              <w:rPr>
                <w:rFonts w:ascii="Arial" w:hAnsi="Arial" w:cs="Arial"/>
              </w:rPr>
              <w:t xml:space="preserve"> funding to help kick start essential infrastructure to better market the site to potential occupiers and stimulate private investment </w:t>
            </w:r>
          </w:p>
        </w:tc>
      </w:tr>
      <w:tr w:rsidR="007C5345" w:rsidTr="00C046D8">
        <w:tc>
          <w:tcPr>
            <w:tcW w:w="4814" w:type="dxa"/>
          </w:tcPr>
          <w:p w:rsidR="00802B52" w:rsidRPr="00802B52" w:rsidRDefault="00DA16F9" w:rsidP="00C046D8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Continuing delays in securing planning and highway approvals and potential land contamination issues that need to be ov</w:t>
            </w:r>
            <w:r w:rsidRPr="00802B52">
              <w:rPr>
                <w:rFonts w:ascii="Arial" w:hAnsi="Arial" w:cs="Arial"/>
              </w:rPr>
              <w:t>ercome.</w:t>
            </w:r>
          </w:p>
        </w:tc>
        <w:tc>
          <w:tcPr>
            <w:tcW w:w="4815" w:type="dxa"/>
          </w:tcPr>
          <w:p w:rsidR="00802B52" w:rsidRPr="00802B52" w:rsidRDefault="00DA16F9" w:rsidP="00172DE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Close liaison with NPL, Wyre (accountable body) and LCC </w:t>
            </w:r>
          </w:p>
        </w:tc>
      </w:tr>
      <w:tr w:rsidR="007C5345" w:rsidTr="00C046D8">
        <w:tc>
          <w:tcPr>
            <w:tcW w:w="4814" w:type="dxa"/>
          </w:tcPr>
          <w:p w:rsidR="00802B52" w:rsidRPr="00802B52" w:rsidRDefault="00DA16F9" w:rsidP="00C046D8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Requirement for flood mitigation measures and utility upgrades across the site and issues surrounding the ability construct western access road over Fleetwood-Poulton railway line.</w:t>
            </w:r>
          </w:p>
        </w:tc>
        <w:tc>
          <w:tcPr>
            <w:tcW w:w="4815" w:type="dxa"/>
          </w:tcPr>
          <w:p w:rsidR="00802B52" w:rsidRPr="00802B52" w:rsidRDefault="00DA16F9" w:rsidP="00172DE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Close lia</w:t>
            </w:r>
            <w:r w:rsidRPr="00802B52">
              <w:rPr>
                <w:rFonts w:ascii="Arial" w:hAnsi="Arial" w:cs="Arial"/>
              </w:rPr>
              <w:t>ison with NPL, Wyre (accountable body) and LCC</w:t>
            </w:r>
          </w:p>
        </w:tc>
      </w:tr>
      <w:tr w:rsidR="007C5345" w:rsidTr="00C046D8">
        <w:tc>
          <w:tcPr>
            <w:tcW w:w="4814" w:type="dxa"/>
          </w:tcPr>
          <w:p w:rsidR="00802B52" w:rsidRPr="00802B52" w:rsidRDefault="00DA16F9" w:rsidP="00C046D8">
            <w:pPr>
              <w:contextualSpacing/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Failure to secure purchase or rights over the Fleetwood rail line will impact upon ability to construct Northern Access road.</w:t>
            </w:r>
          </w:p>
        </w:tc>
        <w:tc>
          <w:tcPr>
            <w:tcW w:w="4815" w:type="dxa"/>
          </w:tcPr>
          <w:p w:rsidR="00802B52" w:rsidRPr="00802B52" w:rsidRDefault="00DA16F9" w:rsidP="00172DE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Close liaison with NPL, Wyre (accountable body) and LCC</w:t>
            </w:r>
          </w:p>
        </w:tc>
      </w:tr>
    </w:tbl>
    <w:p w:rsidR="00CB3078" w:rsidRPr="00802B52" w:rsidRDefault="00DA16F9" w:rsidP="00802B52">
      <w:pPr>
        <w:spacing w:after="0"/>
        <w:jc w:val="both"/>
        <w:rPr>
          <w:rFonts w:ascii="Arial" w:hAnsi="Arial" w:cs="Arial"/>
          <w:b/>
        </w:rPr>
      </w:pPr>
    </w:p>
    <w:sectPr w:rsidR="00CB3078" w:rsidRPr="00802B52" w:rsidSect="005E6646"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485"/>
    <w:multiLevelType w:val="hybridMultilevel"/>
    <w:tmpl w:val="0ECC22FE"/>
    <w:lvl w:ilvl="0" w:tplc="9C98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E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0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A2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9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08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F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0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B67AF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924E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E8CF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482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E2B8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B273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B2F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6CD6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F231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98020D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EA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4F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82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01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AF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0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41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539"/>
    <w:multiLevelType w:val="hybridMultilevel"/>
    <w:tmpl w:val="F72CDD86"/>
    <w:lvl w:ilvl="0" w:tplc="7F0E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0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1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E3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04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7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5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25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0C9B"/>
    <w:multiLevelType w:val="hybridMultilevel"/>
    <w:tmpl w:val="B532CAB4"/>
    <w:lvl w:ilvl="0" w:tplc="AC9A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A7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44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3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2D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0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473B"/>
    <w:multiLevelType w:val="hybridMultilevel"/>
    <w:tmpl w:val="C8C0E762"/>
    <w:lvl w:ilvl="0" w:tplc="2128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88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C4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C5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2A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A1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9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3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25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31C2"/>
    <w:multiLevelType w:val="hybridMultilevel"/>
    <w:tmpl w:val="4FEA306C"/>
    <w:lvl w:ilvl="0" w:tplc="FF96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E2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09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49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1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CD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83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5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AD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67FF"/>
    <w:multiLevelType w:val="hybridMultilevel"/>
    <w:tmpl w:val="E2F0B7DA"/>
    <w:lvl w:ilvl="0" w:tplc="400C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06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A0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C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EE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81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A1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09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5"/>
    <w:rsid w:val="007C5345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ABE9"/>
  <w15:docId w15:val="{EFEFCD78-8428-422B-B976-4BC8D39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table" w:customStyle="1" w:styleId="TableGrid1">
    <w:name w:val="Table Grid1"/>
    <w:basedOn w:val="TableNormal"/>
    <w:next w:val="TableGrid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0" ma:contentTypeDescription="Create a new document." ma:contentTypeScope="" ma:versionID="f452cf34500bdba23fc0bcaf3ea0e3ba">
  <xsd:schema xmlns:xsd="http://www.w3.org/2001/XMLSchema" xmlns:xs="http://www.w3.org/2001/XMLSchema" xmlns:p="http://schemas.microsoft.com/office/2006/metadata/properties" xmlns:ns3="130c9b05-ae92-4b30-8076-4799496fc388" targetNamespace="http://schemas.microsoft.com/office/2006/metadata/properties" ma:root="true" ma:fieldsID="bd54c3c4c9f740d84d7a2dd01360aef7" ns3:_="">
    <xsd:import namespace="130c9b05-ae92-4b30-8076-4799496f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B7825-5E61-4FB7-ABE0-0481A788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BD312-3E8C-4626-A77A-8A94AF210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ED52B-2567-4B33-B72F-2D0B3176A0A1}">
  <ds:schemaRefs>
    <ds:schemaRef ds:uri="http://schemas.microsoft.com/office/infopath/2007/PartnerControls"/>
    <ds:schemaRef ds:uri="130c9b05-ae92-4b30-8076-4799496fc3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Milroy, Andy</cp:lastModifiedBy>
  <cp:revision>8</cp:revision>
  <dcterms:created xsi:type="dcterms:W3CDTF">2020-08-24T13:51:00Z</dcterms:created>
  <dcterms:modified xsi:type="dcterms:W3CDTF">2020-09-23T11:36:00Z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